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bookmarkStart w:id="0" w:name="_GoBack"/>
      <w:bookmarkEnd w:id="0"/>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《滨海新区人民政府2024年度重大</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行政决策事项目录》的通知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为规范重大行政决策行为，促进法治政府建设，根据《重大行政决策程序暂行条例》、《天津市重大行政决策程序规定》、《滨海新区重大行政决策程序规定》和《天津市滨海新区人民政府办公室关于印发天津市滨海新区重大行政决策事项目录管理办法等四个重大行政决策程序规定配套文件的通知》等规定，经区委、区政府同意，现将《滨海新区人民政府202</w:t>
      </w:r>
      <w:r>
        <w:rPr>
          <w:rFonts w:hint="default" w:ascii="Times New Roman" w:hAnsi="Times New Roman" w:cs="Times New Roman"/>
          <w:kern w:val="2"/>
          <w:sz w:val="32"/>
          <w:szCs w:val="32"/>
          <w:lang w:val="en-US" w:eastAsia="zh-CN"/>
        </w:rPr>
        <w:t>4</w:t>
      </w:r>
      <w:r>
        <w:rPr>
          <w:rFonts w:hint="default" w:ascii="Times New Roman" w:hAnsi="Times New Roman" w:eastAsia="仿宋_GB2312" w:cs="Times New Roman"/>
          <w:kern w:val="2"/>
          <w:sz w:val="32"/>
          <w:szCs w:val="32"/>
          <w:lang w:val="en-US" w:eastAsia="zh-CN"/>
        </w:rPr>
        <w:t>年度重大行政决策事项目录》印发给你们，并就有关事项通知如下：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列入目录的重大行政决策事项应当依法履行公众参与、专家论证、风险评估、合法性审查和集体讨论决定等法定程序。承办单位在提请区政府常务会议集体讨论时，应报告履行重大行政决策程序情况。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列入目录的重大行政决策事项，承办单位要认真组织实施，落实责任分工，把握时间节点，确保按时完成。</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列入目录的重大行政决策事项，承办单位应当在决策作出后按有关规定整理并报送重大行政决策档案。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附件：滨海新区人民政府202</w:t>
      </w:r>
      <w:r>
        <w:rPr>
          <w:rFonts w:hint="default" w:ascii="Times New Roman" w:hAnsi="Times New Roman" w:cs="Times New Roman"/>
          <w:kern w:val="2"/>
          <w:sz w:val="32"/>
          <w:szCs w:val="32"/>
          <w:lang w:val="en-US" w:eastAsia="zh-CN"/>
        </w:rPr>
        <w:t>4</w:t>
      </w:r>
      <w:r>
        <w:rPr>
          <w:rFonts w:hint="default" w:ascii="Times New Roman" w:hAnsi="Times New Roman" w:eastAsia="仿宋_GB2312" w:cs="Times New Roman"/>
          <w:kern w:val="2"/>
          <w:sz w:val="32"/>
          <w:szCs w:val="32"/>
          <w:lang w:val="en-US" w:eastAsia="zh-CN"/>
        </w:rPr>
        <w:t>年度重大行政决策事项目录</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3</w:t>
      </w:r>
      <w:r>
        <w:rPr>
          <w:rFonts w:hint="default" w:ascii="Times New Roman" w:hAnsi="Times New Roman" w:eastAsia="仿宋_GB2312" w:cs="Times New Roman"/>
          <w:sz w:val="32"/>
          <w:szCs w:val="32"/>
        </w:rPr>
        <w:t>月</w:t>
      </w:r>
      <w:r>
        <w:rPr>
          <w:rFonts w:hint="default" w:eastAsia="仿宋_GB2312" w:cs="Times New Roman"/>
          <w:sz w:val="32"/>
          <w:szCs w:val="32"/>
          <w:lang w:val="en"/>
        </w:rPr>
        <w:t>13</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滨海新区人民政府2024年度</w:t>
      </w:r>
    </w:p>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重大行政决策事项目录</w:t>
      </w:r>
    </w:p>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36"/>
          <w:szCs w:val="36"/>
          <w:lang w:val="en-US" w:eastAsia="zh-CN"/>
        </w:rPr>
      </w:pPr>
    </w:p>
    <w:tbl>
      <w:tblPr>
        <w:tblStyle w:val="9"/>
        <w:tblpPr w:leftFromText="180" w:rightFromText="180" w:vertAnchor="text" w:horzAnchor="page" w:tblpX="1221" w:tblpY="131"/>
        <w:tblOverlap w:val="never"/>
        <w:tblW w:w="10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5005"/>
        <w:gridCol w:w="2222"/>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1"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序号</w:t>
            </w:r>
          </w:p>
        </w:tc>
        <w:tc>
          <w:tcPr>
            <w:tcW w:w="500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决策事项名称</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决策事项</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承办单位</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作出决策的</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1"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1</w:t>
            </w:r>
          </w:p>
        </w:tc>
        <w:tc>
          <w:tcPr>
            <w:tcW w:w="5005"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eastAsia="zh-CN"/>
              </w:rPr>
              <w:t>天津市滨海新区移动通信基站站址布局专项规划（</w:t>
            </w:r>
            <w:r>
              <w:rPr>
                <w:rFonts w:hint="default" w:ascii="Times New Roman" w:hAnsi="Times New Roman" w:eastAsia="仿宋_GB2312" w:cs="Times New Roman"/>
                <w:sz w:val="32"/>
                <w:szCs w:val="32"/>
                <w:lang w:val="en-US" w:eastAsia="zh-CN"/>
              </w:rPr>
              <w:t>2019-2035年</w:t>
            </w:r>
            <w:r>
              <w:rPr>
                <w:rFonts w:hint="default" w:ascii="Times New Roman" w:hAnsi="Times New Roman" w:eastAsia="仿宋_GB2312" w:cs="Times New Roman"/>
                <w:sz w:val="32"/>
                <w:szCs w:val="32"/>
                <w:lang w:eastAsia="zh-CN"/>
              </w:rPr>
              <w:t>）</w:t>
            </w:r>
          </w:p>
        </w:tc>
        <w:tc>
          <w:tcPr>
            <w:tcW w:w="2222"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lang w:eastAsia="zh-CN"/>
              </w:rPr>
              <w:t>区工</w:t>
            </w:r>
            <w:r>
              <w:rPr>
                <w:rFonts w:hint="eastAsia" w:eastAsia="仿宋_GB2312" w:cs="Times New Roman"/>
                <w:sz w:val="32"/>
                <w:szCs w:val="32"/>
                <w:lang w:eastAsia="zh-CN"/>
              </w:rPr>
              <w:t>业和信息化</w:t>
            </w:r>
            <w:r>
              <w:rPr>
                <w:rFonts w:hint="default" w:ascii="Times New Roman" w:hAnsi="Times New Roman" w:eastAsia="仿宋_GB2312" w:cs="Times New Roman"/>
                <w:sz w:val="32"/>
                <w:szCs w:val="32"/>
                <w:lang w:eastAsia="zh-CN"/>
              </w:rPr>
              <w:t>局</w:t>
            </w:r>
          </w:p>
        </w:tc>
        <w:tc>
          <w:tcPr>
            <w:tcW w:w="1868"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eastAsia="zh-CN"/>
              </w:rPr>
              <w:t>第</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sz w:val="32"/>
                <w:szCs w:val="32"/>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1"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p>
        </w:tc>
        <w:tc>
          <w:tcPr>
            <w:tcW w:w="5005"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滨海新区城市道路桥梁专项规划（</w:t>
            </w:r>
            <w:r>
              <w:rPr>
                <w:rFonts w:hint="default" w:ascii="Times New Roman" w:hAnsi="Times New Roman" w:eastAsia="仿宋_GB2312" w:cs="Times New Roman"/>
                <w:sz w:val="32"/>
                <w:szCs w:val="32"/>
                <w:lang w:val="en-US" w:eastAsia="zh-CN"/>
              </w:rPr>
              <w:t>2020-2035年</w:t>
            </w:r>
            <w:r>
              <w:rPr>
                <w:rFonts w:hint="default" w:ascii="Times New Roman" w:hAnsi="Times New Roman" w:eastAsia="仿宋_GB2312" w:cs="Times New Roman"/>
                <w:sz w:val="32"/>
                <w:szCs w:val="32"/>
                <w:lang w:eastAsia="zh-CN"/>
              </w:rPr>
              <w:t>）</w:t>
            </w:r>
          </w:p>
        </w:tc>
        <w:tc>
          <w:tcPr>
            <w:tcW w:w="2222"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区城</w:t>
            </w:r>
            <w:r>
              <w:rPr>
                <w:rFonts w:hint="eastAsia" w:eastAsia="仿宋_GB2312" w:cs="Times New Roman"/>
                <w:sz w:val="32"/>
                <w:szCs w:val="32"/>
                <w:lang w:eastAsia="zh-CN"/>
              </w:rPr>
              <w:t>市</w:t>
            </w:r>
            <w:r>
              <w:rPr>
                <w:rFonts w:hint="default" w:ascii="Times New Roman" w:hAnsi="Times New Roman" w:eastAsia="仿宋_GB2312" w:cs="Times New Roman"/>
                <w:sz w:val="32"/>
                <w:szCs w:val="32"/>
                <w:lang w:eastAsia="zh-CN"/>
              </w:rPr>
              <w:t>管</w:t>
            </w:r>
            <w:r>
              <w:rPr>
                <w:rFonts w:hint="eastAsia" w:eastAsia="仿宋_GB2312" w:cs="Times New Roman"/>
                <w:sz w:val="32"/>
                <w:szCs w:val="32"/>
                <w:lang w:eastAsia="zh-CN"/>
              </w:rPr>
              <w:t>理</w:t>
            </w:r>
            <w:r>
              <w:rPr>
                <w:rFonts w:hint="default" w:ascii="Times New Roman" w:hAnsi="Times New Roman" w:eastAsia="仿宋_GB2312" w:cs="Times New Roman"/>
                <w:sz w:val="32"/>
                <w:szCs w:val="32"/>
                <w:lang w:eastAsia="zh-CN"/>
              </w:rPr>
              <w:t>委</w:t>
            </w:r>
          </w:p>
        </w:tc>
        <w:tc>
          <w:tcPr>
            <w:tcW w:w="1868"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sz w:val="32"/>
                <w:szCs w:val="32"/>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1"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p>
        </w:tc>
        <w:tc>
          <w:tcPr>
            <w:tcW w:w="5005"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天津市滨海新区水土保持规划（</w:t>
            </w:r>
            <w:r>
              <w:rPr>
                <w:rFonts w:hint="default" w:ascii="Times New Roman" w:hAnsi="Times New Roman" w:eastAsia="仿宋_GB2312" w:cs="Times New Roman"/>
                <w:sz w:val="32"/>
                <w:szCs w:val="32"/>
                <w:lang w:val="en-US" w:eastAsia="zh-CN"/>
              </w:rPr>
              <w:t>2022-2035年</w:t>
            </w:r>
            <w:r>
              <w:rPr>
                <w:rFonts w:hint="default" w:ascii="Times New Roman" w:hAnsi="Times New Roman" w:eastAsia="仿宋_GB2312" w:cs="Times New Roman"/>
                <w:sz w:val="32"/>
                <w:szCs w:val="32"/>
                <w:lang w:eastAsia="zh-CN"/>
              </w:rPr>
              <w:t>）</w:t>
            </w:r>
          </w:p>
        </w:tc>
        <w:tc>
          <w:tcPr>
            <w:tcW w:w="2222"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区水务局</w:t>
            </w:r>
          </w:p>
        </w:tc>
        <w:tc>
          <w:tcPr>
            <w:tcW w:w="1868"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1"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4</w:t>
            </w:r>
          </w:p>
        </w:tc>
        <w:tc>
          <w:tcPr>
            <w:tcW w:w="5005"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vertAlign w:val="baseline"/>
                <w:lang w:val="en" w:eastAsia="zh-CN"/>
              </w:rPr>
            </w:pPr>
            <w:r>
              <w:rPr>
                <w:rFonts w:hint="default" w:ascii="Times New Roman" w:hAnsi="Times New Roman" w:eastAsia="仿宋_GB2312" w:cs="Times New Roman"/>
                <w:sz w:val="32"/>
                <w:szCs w:val="32"/>
                <w:lang w:eastAsia="zh-CN"/>
              </w:rPr>
              <w:t>天津市滨海新区综合交通体系规划（</w:t>
            </w:r>
            <w:r>
              <w:rPr>
                <w:rFonts w:hint="default" w:ascii="Times New Roman" w:hAnsi="Times New Roman" w:eastAsia="仿宋_GB2312" w:cs="Times New Roman"/>
                <w:sz w:val="32"/>
                <w:szCs w:val="32"/>
                <w:lang w:val="en-US" w:eastAsia="zh-CN"/>
              </w:rPr>
              <w:t>2021-2035年</w:t>
            </w:r>
            <w:r>
              <w:rPr>
                <w:rFonts w:hint="default" w:ascii="Times New Roman" w:hAnsi="Times New Roman" w:eastAsia="仿宋_GB2312" w:cs="Times New Roman"/>
                <w:sz w:val="32"/>
                <w:szCs w:val="32"/>
                <w:lang w:eastAsia="zh-CN"/>
              </w:rPr>
              <w:t>）</w:t>
            </w:r>
          </w:p>
        </w:tc>
        <w:tc>
          <w:tcPr>
            <w:tcW w:w="2222"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lang w:eastAsia="zh-CN"/>
              </w:rPr>
              <w:t>区交</w:t>
            </w:r>
            <w:r>
              <w:rPr>
                <w:rFonts w:hint="eastAsia" w:eastAsia="仿宋_GB2312" w:cs="Times New Roman"/>
                <w:sz w:val="32"/>
                <w:szCs w:val="32"/>
                <w:lang w:eastAsia="zh-CN"/>
              </w:rPr>
              <w:t>通</w:t>
            </w:r>
            <w:r>
              <w:rPr>
                <w:rFonts w:hint="default" w:ascii="Times New Roman" w:hAnsi="Times New Roman" w:eastAsia="仿宋_GB2312" w:cs="Times New Roman"/>
                <w:sz w:val="32"/>
                <w:szCs w:val="32"/>
                <w:lang w:eastAsia="zh-CN"/>
              </w:rPr>
              <w:t>运</w:t>
            </w:r>
            <w:r>
              <w:rPr>
                <w:rFonts w:hint="eastAsia" w:eastAsia="仿宋_GB2312" w:cs="Times New Roman"/>
                <w:sz w:val="32"/>
                <w:szCs w:val="32"/>
                <w:lang w:eastAsia="zh-CN"/>
              </w:rPr>
              <w:t>输</w:t>
            </w:r>
            <w:r>
              <w:rPr>
                <w:rFonts w:hint="default" w:ascii="Times New Roman" w:hAnsi="Times New Roman" w:eastAsia="仿宋_GB2312" w:cs="Times New Roman"/>
                <w:sz w:val="32"/>
                <w:szCs w:val="32"/>
                <w:lang w:eastAsia="zh-CN"/>
              </w:rPr>
              <w:t>局</w:t>
            </w:r>
          </w:p>
        </w:tc>
        <w:tc>
          <w:tcPr>
            <w:tcW w:w="1868"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eastAsia="zh-CN"/>
              </w:rPr>
              <w:t>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sz w:val="32"/>
                <w:szCs w:val="32"/>
                <w:lang w:eastAsia="zh-CN"/>
              </w:rPr>
              <w:t>季度</w:t>
            </w:r>
          </w:p>
        </w:tc>
      </w:tr>
    </w:tbl>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2010604000101010101"/>
    <w:charset w:val="00"/>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DC547"/>
    <w:multiLevelType w:val="singleLevel"/>
    <w:tmpl w:val="BB7DC5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0BFBFF0F"/>
    <w:rsid w:val="3A6B48F1"/>
    <w:rsid w:val="3AFF848F"/>
    <w:rsid w:val="42E47BC4"/>
    <w:rsid w:val="64D853C2"/>
    <w:rsid w:val="6B5EDDEE"/>
    <w:rsid w:val="7FD726AF"/>
    <w:rsid w:val="7FFB44B6"/>
    <w:rsid w:val="9CAD6784"/>
    <w:rsid w:val="B77D78A6"/>
    <w:rsid w:val="BDFDBF53"/>
    <w:rsid w:val="BF339CF1"/>
    <w:rsid w:val="DEFBD63B"/>
    <w:rsid w:val="ECF9200C"/>
    <w:rsid w:val="EFFFE8F8"/>
    <w:rsid w:val="F55BEE42"/>
    <w:rsid w:val="F7361866"/>
    <w:rsid w:val="F7C25AD3"/>
    <w:rsid w:val="FADF3EEE"/>
    <w:rsid w:val="FDFFCB22"/>
    <w:rsid w:val="FF9B05BB"/>
    <w:rsid w:val="FFFC7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qFormat/>
    <w:uiPriority w:val="0"/>
    <w:pPr>
      <w:widowControl w:val="0"/>
      <w:jc w:val="both"/>
    </w:pPr>
    <w:rPr>
      <w:rFonts w:ascii="Times New Roman" w:hAnsi="Times New Roman" w:eastAsia="文星仿宋" w:cs="Times New Roman"/>
      <w:kern w:val="2"/>
      <w:sz w:val="32"/>
      <w:szCs w:val="24"/>
      <w:lang w:val="en-US" w:eastAsia="zh-CN" w:bidi="ar-SA"/>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4</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2022-01-23T16:28:00Z</dcterms:created>
  <dc:creator>张殿武</dc:creator>
  <cp:lastModifiedBy>kylin</cp:lastModifiedBy>
  <cp:lastPrinted>2012-09-02T09:48:00Z</cp:lastPrinted>
  <dcterms:modified xsi:type="dcterms:W3CDTF">2024-03-19T09:56:57Z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